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Randall Stone</w:t>
      </w:r>
    </w:p>
    <w:p>
      <w:pPr>
        <w:spacing w:after="60"/>
        <w:pBdr>
          <w:bottom w:val="single" w:sz="14" w:space="1" w:color="D95D18"/>
        </w:pBdr>
      </w:pPr>
      <w:r>
        <w:rPr>
          <w:b/>
          <w:color w:val="487FA7"/>
          <w:sz w:val="20"/>
        </w:rPr>
        <w:t>MEDIA CV · PROFESSIONAL / CIVIC / COMMUNITY</w:t>
      </w:r>
    </w:p>
    <w:p>
      <w:pPr>
        <w:spacing w:after="40"/>
      </w:pPr>
      <w:r>
        <w:t xml:space="preserve">Chico, California  ·  </w:t>
      </w:r>
      <w:hyperlink r:id="rId9">
        <w:r>
          <w:rPr>
            <w:color w:val="D95D18"/>
            <w:u w:val="single"/>
          </w:rPr>
          <w:t>RandallStone.net</w:t>
        </w:r>
      </w:hyperlink>
      <w:r>
        <w:t xml:space="preserve">  ·  </w:t>
      </w:r>
      <w:hyperlink r:id="rId10">
        <w:r>
          <w:rPr>
            <w:color w:val="D95D18"/>
            <w:u w:val="single"/>
          </w:rPr>
          <w:t>RandallStone.com</w:t>
        </w:r>
      </w:hyperlink>
      <w:r>
        <w:t xml:space="preserve">  ·  </w:t>
      </w:r>
      <w:hyperlink r:id="rId11">
        <w:r>
          <w:rPr>
            <w:color w:val="D95D18"/>
            <w:u w:val="single"/>
          </w:rPr>
          <w:t>ElectStone public-service archive</w:t>
        </w:r>
      </w:hyperlink>
    </w:p>
    <w:p>
      <w:pPr>
        <w:spacing w:after="160"/>
      </w:pPr>
      <w:r>
        <w:t>Media / personal: Randall@RandallStone.net  ·  Business: info@RandallStone.com  ·  (530) 267-6150</w:t>
      </w:r>
    </w:p>
    <w:p>
      <w:pPr>
        <w:spacing w:after="180"/>
      </w:pPr>
      <w:r>
        <w:t>Financial planner, IRS Enrolled Agent, real-estate and tax consultant whose work has crossed private practice, affordable housing and development, public finance, local government, regional transportation, teaching, nonprofit governance, athletics, amateur radio and family preparedness. Earlier biography includes Team USA triathlon, Life Loyal Sigma Chi affiliation, Phi Theta Kappa and Golden Key. The web vita and media-verification pages provide source links and context behind the compact entries below.</w:t>
      </w:r>
    </w:p>
    <w:p>
      <w:pPr>
        <w:pStyle w:val="Heading1"/>
      </w:pPr>
      <w:r>
        <w:t>Current professional focus</w:t>
      </w:r>
    </w:p>
    <w:p>
      <w:pPr>
        <w:spacing w:after="40"/>
        <w:ind w:left="173" w:hanging="173"/>
      </w:pPr>
      <w:r>
        <w:rPr>
          <w:b/>
        </w:rPr>
        <w:t xml:space="preserve">• </w:t>
      </w:r>
      <w:hyperlink r:id="rId10">
        <w:r>
          <w:rPr>
            <w:color w:val="D95D18"/>
            <w:u w:val="single"/>
            <w:b/>
          </w:rPr>
          <w:t>Randall Stone Financial</w:t>
        </w:r>
      </w:hyperlink>
      <w:r>
        <w:t xml:space="preserve"> — Financial planning, tax planning/advisory, real-estate consulting and financial analysis. Firm regulatory record: CRD 142729.</w:t>
      </w:r>
    </w:p>
    <w:p>
      <w:pPr>
        <w:spacing w:after="40"/>
        <w:ind w:left="173" w:hanging="173"/>
      </w:pPr>
      <w:r>
        <w:rPr>
          <w:b/>
        </w:rPr>
        <w:t xml:space="preserve">• </w:t>
      </w:r>
      <w:hyperlink r:id="rId12">
        <w:r>
          <w:rPr>
            <w:color w:val="D95D18"/>
            <w:u w:val="single"/>
            <w:b/>
          </w:rPr>
          <w:t>Bean Counting Firm, Inc.</w:t>
        </w:r>
      </w:hyperlink>
      <w:r>
        <w:t xml:space="preserve"> — Tax Department Manager / Enrolled Agent, 2022-present.</w:t>
      </w:r>
    </w:p>
    <w:p>
      <w:pPr>
        <w:spacing w:after="40"/>
        <w:ind w:left="173" w:hanging="173"/>
      </w:pPr>
      <w:r>
        <w:rPr>
          <w:b/>
        </w:rPr>
        <w:t xml:space="preserve">• </w:t>
      </w:r>
      <w:hyperlink r:id="rId11">
        <w:r>
          <w:rPr>
            <w:color w:val="D95D18"/>
            <w:u w:val="single"/>
            <w:b/>
          </w:rPr>
          <w:t>Public / media record</w:t>
        </w:r>
      </w:hyperlink>
      <w:r>
        <w:t xml:space="preserve"> — Long-form public-service archive and source library.</w:t>
      </w:r>
    </w:p>
    <w:p>
      <w:pPr>
        <w:pStyle w:val="Heading1"/>
      </w:pPr>
      <w:r>
        <w:t>Education &amp; professional credentials</w:t>
      </w:r>
    </w:p>
    <w:p>
      <w:pPr>
        <w:spacing w:after="40"/>
        <w:ind w:left="173" w:hanging="173"/>
      </w:pPr>
      <w:r>
        <w:t xml:space="preserve">• </w:t>
      </w:r>
      <w:hyperlink r:id="rId13">
        <w:r>
          <w:rPr>
            <w:color w:val="D95D18"/>
            <w:u w:val="single"/>
          </w:rPr>
          <w:t>Master of Public Administration with Distinction, California State University, Chico</w:t>
        </w:r>
      </w:hyperlink>
    </w:p>
    <w:p>
      <w:pPr>
        <w:spacing w:after="40"/>
        <w:ind w:left="173" w:hanging="173"/>
      </w:pPr>
      <w:r>
        <w:t xml:space="preserve">• </w:t>
      </w:r>
      <w:hyperlink r:id="rId14">
        <w:r>
          <w:rPr>
            <w:color w:val="D95D18"/>
            <w:u w:val="single"/>
          </w:rPr>
          <w:t>B.S. Business Administration - Finance, California State University, Chico</w:t>
        </w:r>
      </w:hyperlink>
    </w:p>
    <w:p>
      <w:pPr>
        <w:spacing w:after="40"/>
        <w:ind w:left="173" w:hanging="173"/>
      </w:pPr>
      <w:r>
        <w:t xml:space="preserve">• </w:t>
      </w:r>
      <w:hyperlink r:id="rId15">
        <w:r>
          <w:rPr>
            <w:color w:val="D95D18"/>
            <w:u w:val="single"/>
          </w:rPr>
          <w:t>B.S. Economics, California State University, Chico</w:t>
        </w:r>
      </w:hyperlink>
    </w:p>
    <w:p>
      <w:pPr>
        <w:spacing w:after="40"/>
        <w:ind w:left="173" w:hanging="173"/>
      </w:pPr>
      <w:r>
        <w:t xml:space="preserve">• </w:t>
      </w:r>
      <w:hyperlink r:id="rId16">
        <w:r>
          <w:rPr>
            <w:color w:val="D95D18"/>
            <w:u w:val="single"/>
          </w:rPr>
          <w:t>IRS Enrolled Agent</w:t>
        </w:r>
      </w:hyperlink>
    </w:p>
    <w:p>
      <w:pPr>
        <w:spacing w:after="40"/>
        <w:ind w:left="173" w:hanging="173"/>
      </w:pPr>
      <w:r>
        <w:t>• Current securities registrations/examinations: Series 7, Series 66 and Series 31; investment-advisory practice currently registered in California.</w:t>
      </w:r>
    </w:p>
    <w:p>
      <w:pPr>
        <w:pStyle w:val="Heading2"/>
      </w:pPr>
      <w:r>
        <w:t>Selected honors, athletics &amp; affiliations</w:t>
      </w:r>
    </w:p>
    <w:p>
      <w:pPr/>
      <w:r>
        <w:t>• Team USA triathlon, 1992 and 1993; USTS national champion, 1992; Triathlon All-American, 1993; World Championship team gold, Manchester, England, August 1993.</w:t>
      </w:r>
    </w:p>
    <w:p>
      <w:pPr/>
      <w:r>
        <w:t>• Sigma Chi Fraternity — Life Loyal Sig; pledged Beta Pi at Oregon State University in September 1994; initiated April 1995; later affiliated with Kappa Theta at Chico State.</w:t>
      </w:r>
    </w:p>
    <w:p>
      <w:pPr/>
      <w:r>
        <w:t>• Fraternity service included Risk Management Director and Derby Days Chair, circa 1996; exact Derby Days term remains pending archive confirmation.</w:t>
      </w:r>
    </w:p>
    <w:p>
      <w:pPr/>
      <w:r>
        <w:t>• Phi Theta Kappa International Honor Society; Golden Key International Honour Society.</w:t>
      </w:r>
    </w:p>
    <w:p>
      <w:pPr>
        <w:pStyle w:val="Heading1"/>
      </w:pPr>
      <w:r>
        <w:t>Selected professional experience</w:t>
      </w:r>
    </w:p>
    <w:tbl>
      <w:tblPr>
        <w:tblW w:type="auto" w:w="0"/>
        <w:jc w:val="center"/>
        <w:tblLayout w:type="fixed"/>
        <w:tblLook w:firstColumn="1" w:firstRow="1" w:lastColumn="0" w:lastRow="0" w:noHBand="0" w:noVBand="1" w:val="04A0"/>
      </w:tblPr>
      <w:tblGrid>
        <w:gridCol w:w="1440"/>
        <w:gridCol w:w="3456"/>
        <w:gridCol w:w="5760"/>
      </w:tblGrid>
      <w:tr>
        <w:trPr>
          <w:tblHeader w:val="true"/>
        </w:trPr>
        <w:tc>
          <w:tcPr>
            <w:tcW w:type="dxa" w:w="3456"/>
            <w:shd w:fill="00446A"/>
            <w:vAlign w:val="center"/>
          </w:tcPr>
          <w:p>
            <w:r>
              <w:rPr>
                <w:b/>
                <w:color w:val="FFFFFF"/>
              </w:rPr>
              <w:t>Dates</w:t>
            </w:r>
          </w:p>
        </w:tc>
        <w:tc>
          <w:tcPr>
            <w:tcW w:type="dxa" w:w="3456"/>
            <w:shd w:fill="00446A"/>
            <w:vAlign w:val="center"/>
          </w:tcPr>
          <w:p>
            <w:r>
              <w:rPr>
                <w:b/>
                <w:color w:val="FFFFFF"/>
              </w:rPr>
              <w:t>Role / institution</w:t>
            </w:r>
          </w:p>
        </w:tc>
        <w:tc>
          <w:tcPr>
            <w:tcW w:type="dxa" w:w="3456"/>
            <w:shd w:fill="00446A"/>
            <w:vAlign w:val="center"/>
          </w:tcPr>
          <w:p>
            <w:r>
              <w:rPr>
                <w:b/>
                <w:color w:val="FFFFFF"/>
              </w:rPr>
              <w:t>Context</w:t>
            </w:r>
          </w:p>
        </w:tc>
      </w:tr>
      <w:tr>
        <w:tc>
          <w:tcPr>
            <w:tcW w:type="dxa" w:w="1440"/>
            <w:vAlign w:val="top"/>
          </w:tcPr>
          <w:p>
            <w:pPr>
              <w:spacing w:after="0" w:before="0"/>
            </w:pPr>
            <w:r>
              <w:rPr>
                <w:sz w:val="17"/>
              </w:rPr>
              <w:t>2004-present</w:t>
            </w:r>
          </w:p>
        </w:tc>
        <w:tc>
          <w:tcPr>
            <w:tcW w:type="dxa" w:w="3456"/>
            <w:vAlign w:val="top"/>
          </w:tcPr>
          <w:p>
            <w:pPr>
              <w:spacing w:after="0" w:before="0"/>
            </w:pPr>
            <w:r>
              <w:rPr>
                <w:sz w:val="17"/>
              </w:rPr>
              <w:t>Randall Stone Financial / independent financial, tax and real-estate practice</w:t>
            </w:r>
          </w:p>
        </w:tc>
        <w:tc>
          <w:tcPr>
            <w:tcW w:type="dxa" w:w="5760"/>
            <w:vAlign w:val="top"/>
          </w:tcPr>
          <w:p>
            <w:pPr>
              <w:spacing w:after="0" w:before="0"/>
            </w:pPr>
            <w:r>
              <w:rPr>
                <w:sz w:val="17"/>
              </w:rPr>
              <w:t>Integrated planning, tax, real-estate analysis and client decision support.</w:t>
            </w:r>
          </w:p>
        </w:tc>
      </w:tr>
      <w:tr>
        <w:tc>
          <w:tcPr>
            <w:tcW w:type="dxa" w:w="1440"/>
            <w:vAlign w:val="top"/>
          </w:tcPr>
          <w:p>
            <w:pPr>
              <w:spacing w:after="0" w:before="0"/>
            </w:pPr>
            <w:r>
              <w:rPr>
                <w:sz w:val="17"/>
              </w:rPr>
              <w:t>2022-present</w:t>
            </w:r>
          </w:p>
        </w:tc>
        <w:tc>
          <w:tcPr>
            <w:tcW w:type="dxa" w:w="3456"/>
            <w:vAlign w:val="top"/>
          </w:tcPr>
          <w:p>
            <w:pPr>
              <w:spacing w:after="0" w:before="0"/>
            </w:pPr>
            <w:r>
              <w:rPr>
                <w:sz w:val="17"/>
              </w:rPr>
              <w:t>Bean Counting Firm, Inc.</w:t>
            </w:r>
          </w:p>
        </w:tc>
        <w:tc>
          <w:tcPr>
            <w:tcW w:type="dxa" w:w="5760"/>
            <w:vAlign w:val="top"/>
          </w:tcPr>
          <w:p>
            <w:pPr>
              <w:spacing w:after="0" w:before="0"/>
            </w:pPr>
            <w:r>
              <w:rPr>
                <w:sz w:val="17"/>
              </w:rPr>
              <w:t>Tax Department Manager / Enrolled Agent.</w:t>
            </w:r>
          </w:p>
        </w:tc>
      </w:tr>
      <w:tr>
        <w:tc>
          <w:tcPr>
            <w:tcW w:type="dxa" w:w="1440"/>
            <w:vAlign w:val="top"/>
          </w:tcPr>
          <w:p>
            <w:pPr>
              <w:spacing w:after="0" w:before="0"/>
            </w:pPr>
            <w:r>
              <w:rPr>
                <w:sz w:val="17"/>
              </w:rPr>
              <w:t>2017-2023</w:t>
            </w:r>
          </w:p>
        </w:tc>
        <w:tc>
          <w:tcPr>
            <w:tcW w:type="dxa" w:w="3456"/>
            <w:vAlign w:val="top"/>
          </w:tcPr>
          <w:p>
            <w:pPr>
              <w:spacing w:after="0" w:before="0"/>
            </w:pPr>
            <w:r>
              <w:rPr>
                <w:sz w:val="17"/>
              </w:rPr>
              <w:t>California State University, Chico</w:t>
            </w:r>
          </w:p>
        </w:tc>
        <w:tc>
          <w:tcPr>
            <w:tcW w:type="dxa" w:w="5760"/>
            <w:vAlign w:val="top"/>
          </w:tcPr>
          <w:p>
            <w:pPr>
              <w:spacing w:after="0" w:before="0"/>
            </w:pPr>
            <w:r>
              <w:rPr>
                <w:sz w:val="17"/>
              </w:rPr>
              <w:t>Lecturer, Real Estate Finance.</w:t>
            </w:r>
          </w:p>
        </w:tc>
      </w:tr>
      <w:tr>
        <w:tc>
          <w:tcPr>
            <w:tcW w:type="dxa" w:w="1440"/>
            <w:vAlign w:val="top"/>
          </w:tcPr>
          <w:p>
            <w:pPr>
              <w:spacing w:after="0" w:before="0"/>
            </w:pPr>
            <w:r>
              <w:rPr>
                <w:sz w:val="17"/>
              </w:rPr>
              <w:t>2005-2020</w:t>
            </w:r>
          </w:p>
        </w:tc>
        <w:tc>
          <w:tcPr>
            <w:tcW w:type="dxa" w:w="3456"/>
            <w:vAlign w:val="top"/>
          </w:tcPr>
          <w:p>
            <w:pPr>
              <w:spacing w:after="0" w:before="0"/>
            </w:pPr>
            <w:r>
              <w:rPr>
                <w:sz w:val="17"/>
              </w:rPr>
              <w:t>California real-estate brokerage/development</w:t>
            </w:r>
          </w:p>
        </w:tc>
        <w:tc>
          <w:tcPr>
            <w:tcW w:type="dxa" w:w="5760"/>
            <w:vAlign w:val="top"/>
          </w:tcPr>
          <w:p>
            <w:pPr>
              <w:spacing w:after="0" w:before="0"/>
            </w:pPr>
            <w:r>
              <w:rPr>
                <w:sz w:val="17"/>
              </w:rPr>
              <w:t>Brokerage, development, feasibility, project finance and client representation.</w:t>
            </w:r>
          </w:p>
        </w:tc>
      </w:tr>
      <w:tr>
        <w:tc>
          <w:tcPr>
            <w:tcW w:type="dxa" w:w="1440"/>
            <w:vAlign w:val="top"/>
          </w:tcPr>
          <w:p>
            <w:pPr>
              <w:spacing w:after="0" w:before="0"/>
            </w:pPr>
            <w:r>
              <w:rPr>
                <w:sz w:val="17"/>
              </w:rPr>
              <w:t>2002-2004</w:t>
            </w:r>
          </w:p>
        </w:tc>
        <w:tc>
          <w:tcPr>
            <w:tcW w:type="dxa" w:w="3456"/>
            <w:vAlign w:val="top"/>
          </w:tcPr>
          <w:p>
            <w:pPr>
              <w:spacing w:after="0" w:before="0"/>
            </w:pPr>
            <w:r>
              <w:rPr>
                <w:sz w:val="17"/>
              </w:rPr>
              <w:t>Morgan Stanley / A.G. Edwards &amp; Sons</w:t>
            </w:r>
          </w:p>
        </w:tc>
        <w:tc>
          <w:tcPr>
            <w:tcW w:type="dxa" w:w="5760"/>
            <w:vAlign w:val="top"/>
          </w:tcPr>
          <w:p>
            <w:pPr>
              <w:spacing w:after="0" w:before="0"/>
            </w:pPr>
            <w:r>
              <w:rPr>
                <w:sz w:val="17"/>
              </w:rPr>
              <w:t>Early securities and financial-advisory work.</w:t>
            </w:r>
          </w:p>
        </w:tc>
      </w:tr>
    </w:tbl>
    <w:p>
      <w:r>
        <w:br w:type="page"/>
      </w:r>
    </w:p>
    <w:p>
      <w:pPr>
        <w:pStyle w:val="Heading1"/>
      </w:pPr>
      <w:r>
        <w:t>Government &amp; regional public service</w:t>
      </w:r>
    </w:p>
    <w:p>
      <w:pPr>
        <w:spacing w:after="80"/>
      </w:pPr>
      <w:hyperlink r:id="rId11">
        <w:r>
          <w:rPr>
            <w:color w:val="D95D18"/>
            <w:u w:val="single"/>
            <w:b/>
          </w:rPr>
          <w:t>City of Chico</w:t>
        </w:r>
      </w:hyperlink>
      <w:r>
        <w:t xml:space="preserve"> — Councilmember 2012-2020; Mayor 2018-2020. Housing, accessibility, budgets, recovery, public safety, social services, civil rights, environment and governance.</w:t>
      </w:r>
    </w:p>
    <w:p>
      <w:pPr>
        <w:spacing w:after="80"/>
      </w:pPr>
      <w:hyperlink r:id="rId18">
        <w:r>
          <w:rPr>
            <w:color w:val="D95D18"/>
            <w:u w:val="single"/>
            <w:b/>
          </w:rPr>
          <w:t>Butte County Assessment Appeals Board</w:t>
        </w:r>
      </w:hyperlink>
      <w:r>
        <w:t xml:space="preserve"> — Member 2017-2025; Chair 2019-2023. Quasi-judicial property valuation appeals.</w:t>
      </w:r>
    </w:p>
    <w:p>
      <w:pPr>
        <w:spacing w:after="80"/>
      </w:pPr>
      <w:hyperlink r:id="rId19">
        <w:r>
          <w:rPr>
            <w:color w:val="D95D18"/>
            <w:u w:val="single"/>
            <w:b/>
          </w:rPr>
          <w:t>Butte County Association of Governments</w:t>
        </w:r>
      </w:hyperlink>
      <w:r>
        <w:t xml:space="preserve"> — Board 2012-2015 and 2018-2020. Regional transportation, transit and planning.</w:t>
      </w:r>
    </w:p>
    <w:p>
      <w:pPr>
        <w:spacing w:after="80"/>
      </w:pPr>
      <w:hyperlink r:id="rId19">
        <w:r>
          <w:rPr>
            <w:color w:val="D95D18"/>
            <w:u w:val="single"/>
            <w:b/>
          </w:rPr>
          <w:t>Butte Regional Transit Corporation</w:t>
        </w:r>
      </w:hyperlink>
      <w:r>
        <w:t xml:space="preserve"> — Board 2013-2022. Regional transportation capital finance and New Markets Tax Credit structure.</w:t>
      </w:r>
    </w:p>
    <w:p>
      <w:pPr>
        <w:spacing w:after="80"/>
      </w:pPr>
      <w:hyperlink r:id="rId20">
        <w:r>
          <w:rPr>
            <w:color w:val="D95D18"/>
            <w:u w:val="single"/>
            <w:b/>
          </w:rPr>
          <w:t>League of California Cities</w:t>
        </w:r>
      </w:hyperlink>
      <w:r>
        <w:t xml:space="preserve"> — Statewide Board of Directors 2018-2020; Sacramento Valley Division Board/leadership 2013-2020; policy committees and Latino Caucus.</w:t>
      </w:r>
    </w:p>
    <w:p>
      <w:pPr>
        <w:spacing w:after="80"/>
      </w:pPr>
      <w:hyperlink r:id="rId21">
        <w:r>
          <w:rPr>
            <w:color w:val="D95D18"/>
            <w:u w:val="single"/>
            <w:b/>
          </w:rPr>
          <w:t>Camp Fire Housing Recovery Task Force</w:t>
        </w:r>
      </w:hyperlink>
      <w:r>
        <w:t xml:space="preserve"> — 2018-2019 countywide recovery-housing work after the Camp Fire.</w:t>
      </w:r>
    </w:p>
    <w:p>
      <w:pPr>
        <w:spacing w:after="80"/>
      </w:pPr>
      <w:hyperlink r:id="rId22">
        <w:r>
          <w:rPr>
            <w:color w:val="D95D18"/>
            <w:u w:val="single"/>
            <w:b/>
          </w:rPr>
          <w:t>Americans with Disabilities Transition Committee</w:t>
        </w:r>
      </w:hyperlink>
      <w:r>
        <w:t xml:space="preserve"> — 2013-2021 accessibility-route and ADA/Section 504 work.</w:t>
      </w:r>
    </w:p>
    <w:p>
      <w:pPr>
        <w:pStyle w:val="Heading1"/>
      </w:pPr>
      <w:r>
        <w:t>Housing, development &amp; public finance</w:t>
      </w:r>
    </w:p>
    <w:p>
      <w:pPr>
        <w:spacing w:after="60"/>
      </w:pPr>
      <w:r>
        <w:rPr>
          <w:b/>
        </w:rPr>
        <w:t xml:space="preserve">Bidwell Park Apartments / former Pear Grove property — </w:t>
      </w:r>
      <w:r>
        <w:t xml:space="preserve">38-unit affordable-housing development in Chico with long-term affordability restrictions, transit access, accessible/adaptable elements, resident relocation and a substantial public source trail. </w:t>
      </w:r>
      <w:hyperlink r:id="rId23">
        <w:r>
          <w:rPr>
            <w:color w:val="D95D18"/>
            <w:u w:val="single"/>
          </w:rPr>
          <w:t>Read the case study</w:t>
        </w:r>
      </w:hyperlink>
    </w:p>
    <w:p>
      <w:pPr>
        <w:spacing w:after="60"/>
      </w:pPr>
      <w:r>
        <w:t>Practice areas include site selection, development financial reports, sources-and-uses analysis, capital stacks, LIHTC/public finance, feasibility, brokerage, valuation and policy intersections.</w:t>
      </w:r>
    </w:p>
    <w:p>
      <w:pPr>
        <w:pStyle w:val="Heading1"/>
      </w:pPr>
      <w:r>
        <w:t>Community, nonprofit &amp; cultural work</w:t>
      </w:r>
    </w:p>
    <w:p>
      <w:pPr>
        <w:spacing w:after="60"/>
      </w:pPr>
      <w:hyperlink r:id="rId24">
        <w:r>
          <w:rPr>
            <w:color w:val="D95D18"/>
            <w:u w:val="single"/>
            <w:b/>
          </w:rPr>
          <w:t>Shalom Free Medical Clinic</w:t>
        </w:r>
      </w:hyperlink>
      <w:r>
        <w:t xml:space="preserve"> — Board leadership / governance and free-clinic service.</w:t>
      </w:r>
    </w:p>
    <w:p>
      <w:pPr>
        <w:spacing w:after="60"/>
      </w:pPr>
      <w:hyperlink r:id="rId25">
        <w:r>
          <w:rPr>
            <w:color w:val="D95D18"/>
            <w:u w:val="single"/>
            <w:b/>
          </w:rPr>
          <w:t>Special Olympics / inclusive athletics</w:t>
        </w:r>
      </w:hyperlink>
      <w:r>
        <w:t xml:space="preserve"> — Long-term coaching, leadership and local event advocacy; source trail includes the Chico State basketball dispute and school-site track-meet history.</w:t>
      </w:r>
    </w:p>
    <w:p>
      <w:pPr>
        <w:spacing w:after="60"/>
      </w:pPr>
      <w:hyperlink r:id="rId26">
        <w:r>
          <w:rPr>
            <w:color w:val="D95D18"/>
            <w:u w:val="single"/>
            <w:b/>
          </w:rPr>
          <w:t>Ballet Folklórico Rosas de María - Seeds of Tradition</w:t>
        </w:r>
      </w:hyperlink>
      <w:r>
        <w:t xml:space="preserve"> — Co-founder; Treasurer / CFO. California nonprofit public-benefit cultural organization.</w:t>
      </w:r>
    </w:p>
    <w:p>
      <w:pPr>
        <w:spacing w:after="60"/>
      </w:pPr>
      <w:hyperlink r:id="rId27">
        <w:r>
          <w:rPr>
            <w:color w:val="D95D18"/>
            <w:u w:val="single"/>
            <w:b/>
          </w:rPr>
          <w:t>Golden Empire Amateur Radio Society</w:t>
        </w:r>
      </w:hyperlink>
      <w:r>
        <w:t xml:space="preserve"> — More than a decade of board service and licensing instruction; served as president.</w:t>
      </w:r>
    </w:p>
    <w:p>
      <w:pPr>
        <w:spacing w:after="60"/>
      </w:pPr>
      <w:hyperlink r:id="rId28">
        <w:r>
          <w:rPr>
            <w:color w:val="D95D18"/>
            <w:u w:val="single"/>
            <w:b/>
          </w:rPr>
          <w:t>Chico Running Club / endurance athletics</w:t>
        </w:r>
      </w:hyperlink>
      <w:r>
        <w:t xml:space="preserve"> — Organizational leadership plus long-running participation in running, triathlon and outdoor sports.</w:t>
      </w:r>
    </w:p>
    <w:p>
      <w:pPr>
        <w:pStyle w:val="Heading1"/>
      </w:pPr>
      <w:r>
        <w:t>Amateur radio &amp; preparedness</w:t>
      </w:r>
    </w:p>
    <w:p>
      <w:pPr>
        <w:spacing w:after="60"/>
      </w:pPr>
      <w:r>
        <w:rPr>
          <w:b/>
        </w:rPr>
        <w:t xml:space="preserve">K6RCS — </w:t>
      </w:r>
      <w:r>
        <w:t xml:space="preserve">Amateur Extra, formally licensed in 2004. HF/VHF/UHF, APRS, Winlink, digital systems, propagation, field operating and teaching. </w:t>
      </w:r>
      <w:hyperlink r:id="rId29">
        <w:r>
          <w:rPr>
            <w:color w:val="D95D18"/>
            <w:u w:val="single"/>
          </w:rPr>
          <w:t>K6RCS site</w:t>
        </w:r>
      </w:hyperlink>
    </w:p>
    <w:p>
      <w:pPr>
        <w:spacing w:after="60"/>
      </w:pPr>
      <w:r>
        <w:rPr>
          <w:b/>
        </w:rPr>
        <w:t xml:space="preserve">Team Stone — </w:t>
      </w:r>
      <w:r>
        <w:t xml:space="preserve">Family communications, travel and preparedness doctrine with downloadable field guides and a public Publisher’s Edition. </w:t>
      </w:r>
      <w:hyperlink r:id="rId30">
        <w:r>
          <w:rPr>
            <w:color w:val="D95D18"/>
            <w:u w:val="single"/>
          </w:rPr>
          <w:t>Team Stone</w:t>
        </w:r>
      </w:hyperlink>
    </w:p>
    <w:p>
      <w:r>
        <w:br w:type="page"/>
      </w:r>
    </w:p>
    <w:p>
      <w:pPr>
        <w:pStyle w:val="Heading1"/>
      </w:pPr>
      <w:r>
        <w:t>Selected public/media source trails</w:t>
      </w:r>
    </w:p>
    <w:p>
      <w:pPr>
        <w:spacing w:after="80"/>
      </w:pPr>
      <w:hyperlink r:id="rId31">
        <w:r>
          <w:rPr>
            <w:color w:val="D95D18"/>
            <w:u w:val="single"/>
            <w:b/>
          </w:rPr>
          <w:t>CN&amp;R - Whom to Watch in 2019</w:t>
        </w:r>
      </w:hyperlink>
      <w:r>
        <w:t xml:space="preserve"> — Public profile including mayoral workload, professional life and electric-unicycle commuting.</w:t>
      </w:r>
    </w:p>
    <w:p>
      <w:pPr>
        <w:spacing w:after="80"/>
      </w:pPr>
      <w:hyperlink r:id="rId32">
        <w:r>
          <w:rPr>
            <w:color w:val="D95D18"/>
            <w:u w:val="single"/>
            <w:b/>
          </w:rPr>
          <w:t>CN&amp;R - Close encounter (2011)</w:t>
        </w:r>
      </w:hyperlink>
      <w:r>
        <w:t xml:space="preserve"> — Personal story about a frightening home intrusion and the Stones’ interest in helping the intruder afterward.</w:t>
      </w:r>
    </w:p>
    <w:p>
      <w:pPr>
        <w:spacing w:after="80"/>
      </w:pPr>
      <w:hyperlink r:id="rId33">
        <w:r>
          <w:rPr>
            <w:color w:val="D95D18"/>
            <w:u w:val="single"/>
            <w:b/>
          </w:rPr>
          <w:t>CN&amp;R - “Where will I live?”</w:t>
        </w:r>
      </w:hyperlink>
      <w:r>
        <w:t xml:space="preserve"> — Contemporaneous reporting on the Pear Grove / Bidwell Park Apartments redevelopment and resident concerns.</w:t>
      </w:r>
    </w:p>
    <w:p>
      <w:pPr>
        <w:spacing w:after="80"/>
      </w:pPr>
      <w:hyperlink r:id="rId34">
        <w:r>
          <w:rPr>
            <w:color w:val="D95D18"/>
            <w:u w:val="single"/>
            <w:b/>
          </w:rPr>
          <w:t>KCRW Press Play - Camp Fire / Chico housing</w:t>
        </w:r>
      </w:hyperlink>
      <w:r>
        <w:t xml:space="preserve"> — Regional/national interview context on the housing strain after the Camp Fire.</w:t>
      </w:r>
    </w:p>
    <w:p>
      <w:pPr>
        <w:spacing w:after="80"/>
      </w:pPr>
      <w:hyperlink r:id="rId35">
        <w:r>
          <w:rPr>
            <w:color w:val="D95D18"/>
            <w:u w:val="single"/>
            <w:b/>
          </w:rPr>
          <w:t>Butte County District Attorney - April 16, 2025 sentencing release</w:t>
        </w:r>
      </w:hyperlink>
      <w:r>
        <w:t xml:space="preserve"> — Authoritative public record for the 2024 DUI collision, sentencing and victim-impact statement.</w:t>
      </w:r>
    </w:p>
    <w:p>
      <w:pPr>
        <w:spacing w:after="80"/>
      </w:pPr>
      <w:hyperlink r:id="rId36">
        <w:r>
          <w:rPr>
            <w:color w:val="D95D18"/>
            <w:u w:val="single"/>
            <w:b/>
          </w:rPr>
          <w:t>Full media archive</w:t>
        </w:r>
      </w:hyperlink>
      <w:r>
        <w:t xml:space="preserve"> — Video, radio, reporting and contextual notes.</w:t>
      </w:r>
    </w:p>
    <w:p>
      <w:pPr>
        <w:spacing w:after="80"/>
      </w:pPr>
      <w:hyperlink r:id="rId37">
        <w:r>
          <w:rPr>
            <w:color w:val="D95D18"/>
            <w:u w:val="single"/>
            <w:b/>
          </w:rPr>
          <w:t>Media &amp; Verification dossier</w:t>
        </w:r>
      </w:hyperlink>
      <w:r>
        <w:t xml:space="preserve"> — Entity functions, roles, public highlights and evidence posture.</w:t>
      </w:r>
    </w:p>
    <w:p>
      <w:pPr>
        <w:spacing w:after="80"/>
      </w:pPr>
      <w:hyperlink r:id="rId38">
        <w:r>
          <w:rPr>
            <w:color w:val="D95D18"/>
            <w:u w:val="single"/>
            <w:b/>
          </w:rPr>
          <w:t>Full linked vita</w:t>
        </w:r>
      </w:hyperlink>
      <w:r>
        <w:t xml:space="preserve"> — Comprehensive record with direct organization links.</w:t>
      </w:r>
    </w:p>
    <w:p>
      <w:pPr>
        <w:pStyle w:val="Heading1"/>
      </w:pPr>
      <w:r>
        <w:t>Media-use note</w:t>
      </w:r>
    </w:p>
    <w:p>
      <w:r>
        <w:t>This quick CV intentionally favors concise, checkable entries. The web vita and Media &amp; Verification page carry the longer narrative, direct organization links, contemporaneous reporting, public records, and explicit labels where a detail is firsthand history awaiting an original archive record. For current financial-regulatory information, use Randall Stone Financial’s Form ADV and firm CRD 142729.</w:t>
      </w:r>
    </w:p>
    <w:p>
      <w:pPr>
        <w:spacing w:before="200"/>
        <w:jc w:val="center"/>
      </w:pPr>
      <w:r>
        <w:rPr>
          <w:i/>
          <w:color w:val="5B6A70"/>
          <w:sz w:val="17"/>
        </w:rPr>
        <w:t>Prepared for media / event use · Updated August 14, 2026</w:t>
      </w:r>
    </w:p>
    <w:sectPr w:rsidR="00FC693F" w:rsidRPr="0006063C" w:rsidSect="00034616">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446A"/>
      <w:sz w:val="29"/>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446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D95D18"/>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andallstone.net/" TargetMode="External"/><Relationship Id="rId10" Type="http://schemas.openxmlformats.org/officeDocument/2006/relationships/hyperlink" Target="https://randallstone.com/" TargetMode="External"/><Relationship Id="rId11" Type="http://schemas.openxmlformats.org/officeDocument/2006/relationships/hyperlink" Target="https://elect.randallstone.net/" TargetMode="External"/><Relationship Id="rId12" Type="http://schemas.openxmlformats.org/officeDocument/2006/relationships/hyperlink" Target="https://www.beancountingfirm.com/meet_our_team.php" TargetMode="External"/><Relationship Id="rId13" Type="http://schemas.openxmlformats.org/officeDocument/2006/relationships/hyperlink" Target="https://www.csuchico.edu/academics/majors-programs/public-administration-mpa.shtml" TargetMode="External"/><Relationship Id="rId14" Type="http://schemas.openxmlformats.org/officeDocument/2006/relationships/hyperlink" Target="https://www.csuchico.edu/academics/majors-programs/business-administration-bs.shtml" TargetMode="External"/><Relationship Id="rId15" Type="http://schemas.openxmlformats.org/officeDocument/2006/relationships/hyperlink" Target="https://www.csuchico.edu/academics/college/behavioral-social-sciences/departments/economics/index.shtml" TargetMode="External"/><Relationship Id="rId16" Type="http://schemas.openxmlformats.org/officeDocument/2006/relationships/hyperlink" Target="https://www.irs.gov/tax-professionals/enrolled-agents/enrolled-agent-information" TargetMode="External"/><Relationship Id="rId17" Type="http://schemas.openxmlformats.org/officeDocument/2006/relationships/hyperlink" Target="https://www.finra.org/registration-exams-ce/qualification-exams" TargetMode="External"/><Relationship Id="rId18" Type="http://schemas.openxmlformats.org/officeDocument/2006/relationships/hyperlink" Target="https://www.buttecounty.net/323/Assessment-Appeals-Board" TargetMode="External"/><Relationship Id="rId19" Type="http://schemas.openxmlformats.org/officeDocument/2006/relationships/hyperlink" Target="https://www.bcag.org/" TargetMode="External"/><Relationship Id="rId20" Type="http://schemas.openxmlformats.org/officeDocument/2006/relationships/hyperlink" Target="https://www.calcities.org/" TargetMode="External"/><Relationship Id="rId21" Type="http://schemas.openxmlformats.org/officeDocument/2006/relationships/hyperlink" Target="https://elect.randallstone.net/camp-fire/" TargetMode="External"/><Relationship Id="rId22" Type="http://schemas.openxmlformats.org/officeDocument/2006/relationships/hyperlink" Target="https://elect.randallstone.net/accessibility/" TargetMode="External"/><Relationship Id="rId23" Type="http://schemas.openxmlformats.org/officeDocument/2006/relationships/hyperlink" Target="https://randallstone.net/stories/bidwell-park-apartments/" TargetMode="External"/><Relationship Id="rId24" Type="http://schemas.openxmlformats.org/officeDocument/2006/relationships/hyperlink" Target="https://www.shalomfreeclinic.org/" TargetMode="External"/><Relationship Id="rId25" Type="http://schemas.openxmlformats.org/officeDocument/2006/relationships/hyperlink" Target="https://randallstone.net/stories/special-olympics/" TargetMode="External"/><Relationship Id="rId26" Type="http://schemas.openxmlformats.org/officeDocument/2006/relationships/hyperlink" Target="https://randallstone.net/baile/" TargetMode="External"/><Relationship Id="rId27" Type="http://schemas.openxmlformats.org/officeDocument/2006/relationships/hyperlink" Target="https://gearsw6rhc.com/" TargetMode="External"/><Relationship Id="rId28" Type="http://schemas.openxmlformats.org/officeDocument/2006/relationships/hyperlink" Target="https://randallstone.net/athletics/" TargetMode="External"/><Relationship Id="rId29" Type="http://schemas.openxmlformats.org/officeDocument/2006/relationships/hyperlink" Target="https://randallstone.net/k6rcs/" TargetMode="External"/><Relationship Id="rId30" Type="http://schemas.openxmlformats.org/officeDocument/2006/relationships/hyperlink" Target="https://randallstone.net/teamstone/" TargetMode="External"/><Relationship Id="rId31" Type="http://schemas.openxmlformats.org/officeDocument/2006/relationships/hyperlink" Target="https://www.newsreview.com/chico/content/whom-to-watch-in-2019/27529280/" TargetMode="External"/><Relationship Id="rId32" Type="http://schemas.openxmlformats.org/officeDocument/2006/relationships/hyperlink" Target="https://www.newsreview.com/chico/content/close-encounter/3190696/" TargetMode="External"/><Relationship Id="rId33" Type="http://schemas.openxmlformats.org/officeDocument/2006/relationships/hyperlink" Target="https://www.newsreview.com/chico/content/where-will-i-live/512890/" TargetMode="External"/><Relationship Id="rId34" Type="http://schemas.openxmlformats.org/officeDocument/2006/relationships/hyperlink" Target="https://www.kcrw.com/news/shows/press-play-with-madeleine-brand/influx-of-camp-fire-survivors-strains-chico/influx-of-camp-fire-survivors-strains-chico-california" TargetMode="External"/><Relationship Id="rId35" Type="http://schemas.openxmlformats.org/officeDocument/2006/relationships/hyperlink" Target="https://www.buttecounty.net/DocumentCenter/View/15462/April-16-2025---CHICO-WOMAN-SENTENCED-TO-STATE-PRISON-FOR-DUI-CRASH-THAT-INJURED-FORMER-CHICO-MAYOR" TargetMode="External"/><Relationship Id="rId36" Type="http://schemas.openxmlformats.org/officeDocument/2006/relationships/hyperlink" Target="https://randallstone.net/media/" TargetMode="External"/><Relationship Id="rId37" Type="http://schemas.openxmlformats.org/officeDocument/2006/relationships/hyperlink" Target="https://randallstone.net/media-kit/" TargetMode="External"/><Relationship Id="rId38" Type="http://schemas.openxmlformats.org/officeDocument/2006/relationships/hyperlink" Target="https://randallstone.net/v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